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3E868397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ED735C" w:rsidTr="00ED735C" w14:paraId="4F16E018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  <w:hideMark/>
          </w:tcPr>
          <w:p w:rsidRPr="00ED735C" w:rsidR="00ED735C" w:rsidP="00ED735C" w:rsidRDefault="00ED735C" w14:paraId="509A0E51" w14:textId="7777777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CBBCEA"/>
            <w:vAlign w:val="center"/>
            <w:hideMark/>
          </w:tcPr>
          <w:p w:rsidRPr="00ED735C" w:rsidR="00ED735C" w:rsidP="00ED735C" w:rsidRDefault="00ED735C" w14:paraId="41241570" w14:textId="7777777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sz w:val="18"/>
                <w:szCs w:val="18"/>
              </w:rPr>
              <w:t xml:space="preserve">Čechy VVN A - České Budějovice 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CBBCEA"/>
            <w:vAlign w:val="center"/>
            <w:hideMark/>
          </w:tcPr>
          <w:p w:rsidRPr="00ED735C" w:rsidR="00ED735C" w:rsidP="00ED735C" w:rsidRDefault="00ED735C" w14:paraId="205745A0" w14:textId="7777777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sz w:val="18"/>
                <w:szCs w:val="18"/>
              </w:rPr>
              <w:t>ČB město, ČB venkov, Trhové Sviny, Týn nad Vltavou, Český Krumlov, Kaplice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ED735C" w:rsidP="00136996" w:rsidRDefault="00363840" w14:paraId="6F591D6F" w14:textId="59530618">
      <w:pPr>
        <w:pStyle w:val="Nadpis1"/>
      </w:pPr>
      <w:r>
        <w:t xml:space="preserve">1 </w:t>
      </w:r>
      <w:r w:rsidRPr="00317A12" w:rsidR="00C40F5F">
        <w:t xml:space="preserve">Čechy VVN A - České Budějovice </w:t>
      </w:r>
    </w:p>
    <w:p w:rsidRPr="0069099C" w:rsidR="0069099C" w:rsidP="0069099C" w:rsidRDefault="0069099C" w14:paraId="4B588EA9" w14:textId="611DA3B4"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 wp14:anchorId="30BBF36C" wp14:editId="4973149E">
            <wp:simplePos x="0" y="0"/>
            <wp:positionH relativeFrom="column">
              <wp:posOffset>102870</wp:posOffset>
            </wp:positionH>
            <wp:positionV relativeFrom="paragraph">
              <wp:posOffset>254000</wp:posOffset>
            </wp:positionV>
            <wp:extent cx="6333490" cy="5809615"/>
            <wp:effectExtent l="0" t="0" r="0" b="635"/>
            <wp:wrapTopAndBottom/>
            <wp:docPr id="182996797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580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9099C" w:rsidRDefault="0069099C" w14:paraId="07324FDD" w14:textId="67088000">
      <w:pPr>
        <w:spacing w:after="160" w:line="259" w:lineRule="auto"/>
        <w:jc w:val="left"/>
      </w:pPr>
      <w:r>
        <w:br w:type="page"/>
      </w:r>
    </w:p>
    <w:p w:rsidR="009D4E4D" w:rsidP="009D4E4D" w:rsidRDefault="009D4E4D" w14:paraId="5B7C2A16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EG.D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  <w:rPr>
          <w:szCs w:val="24"/>
        </w:rPr>
      </w:pPr>
    </w:p>
    <w:p w:rsidR="00D06611" w:rsidP="6E94A5DB" w:rsidRDefault="00D06611" w14:paraId="2AF35BF0" w14:textId="6C2BD66A">
      <w:pPr>
        <w:spacing w:before="0" w:beforeAutospacing="off" w:after="0" w:afterAutospacing="off" w:line="276" w:lineRule="auto"/>
        <w:ind w:left="720" w:right="0"/>
        <w:jc w:val="left"/>
        <w:rPr>
          <w:rFonts w:ascii="Arial" w:hAnsi="Arial" w:eastAsia="Arial" w:cs="Arial"/>
          <w:noProof w:val="0"/>
          <w:sz w:val="24"/>
          <w:szCs w:val="24"/>
          <w:lang w:val="cs-CZ"/>
        </w:rPr>
      </w:pPr>
    </w:p>
    <w:p w:rsidR="00D06611" w:rsidP="6E94A5DB" w:rsidRDefault="00D06611" w14:paraId="2610D7C5" w14:textId="0127BB56">
      <w:pPr>
        <w:spacing w:before="0" w:beforeAutospacing="off" w:after="0" w:afterAutospacing="off" w:line="276" w:lineRule="auto"/>
        <w:jc w:val="left"/>
      </w:pPr>
      <w:r w:rsidRPr="6E94A5DB" w:rsidR="3EB1B8A1">
        <w:rPr>
          <w:rFonts w:ascii="Arial" w:hAnsi="Arial" w:eastAsia="Arial" w:cs="Arial"/>
          <w:noProof w:val="0"/>
          <w:sz w:val="24"/>
          <w:szCs w:val="24"/>
          <w:lang w:val="cs-CZ"/>
        </w:rPr>
        <w:t xml:space="preserve">Určení místa stanoviště pro Zhotovitele </w:t>
      </w:r>
      <w:r w:rsidRPr="6E94A5DB" w:rsidR="3EB1B8A1">
        <w:rPr>
          <w:rFonts w:ascii="Arial" w:hAnsi="Arial" w:eastAsia="Arial" w:cs="Arial"/>
          <w:b w:val="1"/>
          <w:bCs w:val="1"/>
          <w:noProof w:val="0"/>
          <w:sz w:val="24"/>
          <w:szCs w:val="24"/>
          <w:lang w:val="cs-CZ"/>
        </w:rPr>
        <w:t>při nepředložení informace o zřízení svého sídla</w:t>
      </w:r>
      <w:r w:rsidRPr="6E94A5DB" w:rsidR="3EB1B8A1">
        <w:rPr>
          <w:rFonts w:ascii="Arial" w:hAnsi="Arial" w:eastAsia="Arial" w:cs="Arial"/>
          <w:noProof w:val="0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00D06611" w:rsidP="6E94A5DB" w:rsidRDefault="00D06611" w14:paraId="708EC7F4" w14:textId="000F579A">
      <w:pPr>
        <w:spacing w:before="0" w:beforeAutospacing="off" w:after="0" w:afterAutospacing="off" w:line="276" w:lineRule="auto"/>
        <w:jc w:val="left"/>
      </w:pPr>
      <w:r w:rsidRPr="6E94A5DB" w:rsidR="3EB1B8A1">
        <w:rPr>
          <w:rFonts w:ascii="Arial" w:hAnsi="Arial" w:eastAsia="Arial" w:cs="Arial"/>
          <w:noProof w:val="0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9655" w:type="dxa"/>
        <w:tblLayout w:type="fixed"/>
        <w:tblLook w:val="04A0" w:firstRow="1" w:lastRow="0" w:firstColumn="1" w:lastColumn="0" w:noHBand="0" w:noVBand="1"/>
      </w:tblPr>
      <w:tblGrid>
        <w:gridCol w:w="690"/>
        <w:gridCol w:w="3460"/>
        <w:gridCol w:w="5505"/>
      </w:tblGrid>
      <w:tr w:rsidR="6E94A5DB" w:rsidTr="48C8E443" w14:paraId="51DFD6B5">
        <w:trPr>
          <w:trHeight w:val="600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2D543C26" w14:textId="2EAC9EF7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Č. o.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6ED02D69" w14:textId="3275D00E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Region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47B3E592" w14:textId="7C187B78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Název a adresní místo OPDs</w:t>
            </w:r>
          </w:p>
        </w:tc>
      </w:tr>
      <w:tr w:rsidR="6E94A5DB" w:rsidTr="48C8E443" w14:paraId="17BAB88D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30101B2" w14:textId="51012246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CCFFCC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6F2A1204" w14:textId="60FC66D8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A– České Budějovice 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CCFFCC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AAD8142" w14:textId="1396AFC4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Č. Budějovice – Křižíkova 1698, České Budějovice</w:t>
            </w:r>
          </w:p>
        </w:tc>
      </w:tr>
      <w:tr w:rsidR="6E94A5DB" w:rsidTr="48C8E443" w14:paraId="4D97CE18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7BCEE17E" w14:textId="119208EE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2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CCFF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398DDB20" w14:textId="02FF68A1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B – Jindřichův Hradec 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CCFF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390B3802" w14:textId="7652B655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J. Hradec, Pražská 290, Jindřichův Hradec</w:t>
            </w:r>
          </w:p>
        </w:tc>
      </w:tr>
      <w:tr w:rsidR="6E94A5DB" w:rsidTr="48C8E443" w14:paraId="09E6B7A8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6E0E00C4" w14:textId="65F676A1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3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00B0F0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1689E0A5" w14:textId="5D815DF1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C – Písek 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00B0F0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74050EDB" w14:textId="11C0F301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Písek, Vrcovická 2297, Písek</w:t>
            </w:r>
          </w:p>
        </w:tc>
      </w:tr>
      <w:tr w:rsidR="6E94A5DB" w:rsidTr="48C8E443" w14:paraId="3F5E60F6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826CE4F" w14:textId="721C5C8E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5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5050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49702FCD" w14:textId="6204F7F6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Střed VVN A – Brno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5050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ACE9C01" w14:textId="6A3D5283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Brno – východ, Jedovnická 4537, Brno,</w:t>
            </w:r>
          </w:p>
        </w:tc>
      </w:tr>
      <w:tr w:rsidR="6E94A5DB" w:rsidTr="48C8E443" w14:paraId="552CD7C7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65764C99" w14:textId="488BD8A4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8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5B68B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6299C81" w14:textId="3AD54512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Morava VVN A – Otrokovice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5B68B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35D38EDD" w14:textId="1B3380AA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Zlín, Vodní 4200, Zlín</w:t>
            </w:r>
          </w:p>
        </w:tc>
      </w:tr>
      <w:tr w:rsidR="6E94A5DB" w:rsidTr="48C8E443" w14:paraId="6BE51F03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433BBD0" w14:textId="35CD38FB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10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B7215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331E0144" w14:textId="71CAA57C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Morava VVN C – Znojmo 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B7215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60E0687D" w14:textId="513EC4AC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</w:t>
            </w:r>
            <w:r w:rsidRPr="6E94A5DB" w:rsidR="6E94A5DB">
              <w:rPr>
                <w:rFonts w:ascii="Segoe UI" w:hAnsi="Segoe UI" w:eastAsia="Segoe UI" w:cs="Segoe UI"/>
                <w:color w:val="212529"/>
                <w:sz w:val="21"/>
                <w:szCs w:val="21"/>
              </w:rPr>
              <w:t xml:space="preserve"> </w:t>
            </w: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Rooseveltova 3628/8a, Znojmo </w:t>
            </w:r>
          </w:p>
        </w:tc>
      </w:tr>
      <w:tr w:rsidR="6E94A5DB" w:rsidTr="48C8E443" w14:paraId="3CC2BC04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13A907EA" w14:textId="3AA0D9BA">
            <w:pPr>
              <w:spacing w:before="0" w:beforeAutospacing="off" w:after="0" w:afterAutospacing="off"/>
              <w:jc w:val="center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11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19F2F7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7BC98E1D" w14:textId="0442E5F1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Morava VVN D – Hodonín</w:t>
            </w:r>
          </w:p>
        </w:tc>
        <w:tc>
          <w:tcPr>
            <w:tcW w:w="550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19F2F7"/>
            <w:tcMar>
              <w:left w:w="70" w:type="dxa"/>
              <w:right w:w="70" w:type="dxa"/>
            </w:tcMar>
            <w:vAlign w:val="center"/>
          </w:tcPr>
          <w:p w:rsidR="6E94A5DB" w:rsidP="6E94A5DB" w:rsidRDefault="6E94A5DB" w14:paraId="5F184EF1" w14:textId="2518725F">
            <w:pPr>
              <w:spacing w:before="0" w:beforeAutospacing="off" w:after="0" w:afterAutospacing="off"/>
              <w:jc w:val="both"/>
            </w:pPr>
            <w:r w:rsidRPr="6E94A5DB" w:rsidR="6E94A5D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Kyjov, Riegerova 385, Kyjov</w:t>
            </w:r>
          </w:p>
        </w:tc>
      </w:tr>
    </w:tbl>
    <w:p w:rsidR="00D06611" w:rsidP="6E94A5DB" w:rsidRDefault="00D06611" w14:paraId="1FC2257C" w14:textId="0E862387">
      <w:pPr>
        <w:bidi w:val="0"/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1"/>
          <w:bCs w:val="1"/>
          <w:noProof w:val="0"/>
          <w:sz w:val="28"/>
          <w:szCs w:val="28"/>
          <w:lang w:val="cs-CZ"/>
        </w:rPr>
      </w:pPr>
    </w:p>
    <w:p w:rsidR="00D06611" w:rsidP="00D06611" w:rsidRDefault="00D06611" w14:paraId="3FCE7DEA" w14:textId="101BFDBE">
      <w:pPr>
        <w:pStyle w:val="Odstavecseseznamem"/>
        <w:spacing w:line="276" w:lineRule="auto"/>
        <w:jc w:val="left"/>
      </w:pPr>
    </w:p>
    <w:p w:rsidRPr="00D17360" w:rsidR="00D06611" w:rsidP="00D06611" w:rsidRDefault="00D06611" w14:paraId="03BDA943" w14:textId="77777777">
      <w:pPr>
        <w:pStyle w:val="Odstavecseseznamem"/>
        <w:spacing w:line="276" w:lineRule="auto"/>
        <w:jc w:val="left"/>
        <w:rPr>
          <w:b/>
          <w:sz w:val="28"/>
        </w:rPr>
      </w:pPr>
    </w:p>
    <w:p w:rsidR="00D17360" w:rsidP="004E1418" w:rsidRDefault="00D17360" w14:paraId="63670EC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F5574"/>
    <w:rsid w:val="000F6032"/>
    <w:rsid w:val="00117CF5"/>
    <w:rsid w:val="00121C83"/>
    <w:rsid w:val="00133FB7"/>
    <w:rsid w:val="00136996"/>
    <w:rsid w:val="00147D54"/>
    <w:rsid w:val="00196760"/>
    <w:rsid w:val="001A5A5A"/>
    <w:rsid w:val="001B5B1A"/>
    <w:rsid w:val="001C4A62"/>
    <w:rsid w:val="001D4402"/>
    <w:rsid w:val="001D70DE"/>
    <w:rsid w:val="001D7BBD"/>
    <w:rsid w:val="001F3C09"/>
    <w:rsid w:val="001F4C51"/>
    <w:rsid w:val="00202A0F"/>
    <w:rsid w:val="00216CFB"/>
    <w:rsid w:val="00241E19"/>
    <w:rsid w:val="00262511"/>
    <w:rsid w:val="002739BA"/>
    <w:rsid w:val="002A2500"/>
    <w:rsid w:val="002A594D"/>
    <w:rsid w:val="002F0A0D"/>
    <w:rsid w:val="002F728E"/>
    <w:rsid w:val="00317A12"/>
    <w:rsid w:val="00345487"/>
    <w:rsid w:val="00363840"/>
    <w:rsid w:val="00363ABF"/>
    <w:rsid w:val="003B1562"/>
    <w:rsid w:val="003F5DD8"/>
    <w:rsid w:val="0040732C"/>
    <w:rsid w:val="0041010B"/>
    <w:rsid w:val="00422C9F"/>
    <w:rsid w:val="0045327F"/>
    <w:rsid w:val="004709D6"/>
    <w:rsid w:val="004818BC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E39B6"/>
    <w:rsid w:val="006170BD"/>
    <w:rsid w:val="0066225D"/>
    <w:rsid w:val="00676A38"/>
    <w:rsid w:val="0069099C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4503A"/>
    <w:rsid w:val="008900A2"/>
    <w:rsid w:val="008A4A2E"/>
    <w:rsid w:val="008C4A03"/>
    <w:rsid w:val="008F4538"/>
    <w:rsid w:val="00941BE6"/>
    <w:rsid w:val="00952F1E"/>
    <w:rsid w:val="0097013A"/>
    <w:rsid w:val="00987D49"/>
    <w:rsid w:val="009D2119"/>
    <w:rsid w:val="009D4E4D"/>
    <w:rsid w:val="00A27629"/>
    <w:rsid w:val="00A63CE9"/>
    <w:rsid w:val="00A828FB"/>
    <w:rsid w:val="00AA2534"/>
    <w:rsid w:val="00AC1A88"/>
    <w:rsid w:val="00AC5AC5"/>
    <w:rsid w:val="00AC6903"/>
    <w:rsid w:val="00B0459A"/>
    <w:rsid w:val="00B273A0"/>
    <w:rsid w:val="00B51C58"/>
    <w:rsid w:val="00B5268C"/>
    <w:rsid w:val="00B93EF7"/>
    <w:rsid w:val="00BA54ED"/>
    <w:rsid w:val="00BA6953"/>
    <w:rsid w:val="00BC4B51"/>
    <w:rsid w:val="00BF588A"/>
    <w:rsid w:val="00C00CD6"/>
    <w:rsid w:val="00C10160"/>
    <w:rsid w:val="00C2041C"/>
    <w:rsid w:val="00C4030B"/>
    <w:rsid w:val="00C40F5F"/>
    <w:rsid w:val="00C75CDC"/>
    <w:rsid w:val="00C84833"/>
    <w:rsid w:val="00C9126E"/>
    <w:rsid w:val="00CB6277"/>
    <w:rsid w:val="00CC50E3"/>
    <w:rsid w:val="00D06611"/>
    <w:rsid w:val="00D16C31"/>
    <w:rsid w:val="00D17360"/>
    <w:rsid w:val="00D335F6"/>
    <w:rsid w:val="00D35C76"/>
    <w:rsid w:val="00D76D8B"/>
    <w:rsid w:val="00DB40B4"/>
    <w:rsid w:val="00DC159A"/>
    <w:rsid w:val="00DE5767"/>
    <w:rsid w:val="00DF6EC6"/>
    <w:rsid w:val="00E021A8"/>
    <w:rsid w:val="00E82BEE"/>
    <w:rsid w:val="00ED735C"/>
    <w:rsid w:val="00F03983"/>
    <w:rsid w:val="00F07628"/>
    <w:rsid w:val="00F30A98"/>
    <w:rsid w:val="00F46B80"/>
    <w:rsid w:val="00F67098"/>
    <w:rsid w:val="00FB3C91"/>
    <w:rsid w:val="00FC271D"/>
    <w:rsid w:val="00FF232A"/>
    <w:rsid w:val="11250D11"/>
    <w:rsid w:val="3EB1B8A1"/>
    <w:rsid w:val="48C8E443"/>
    <w:rsid w:val="6E94A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74</revision>
  <lastPrinted>2024-05-24T14:14:00.0000000Z</lastPrinted>
  <dcterms:created xsi:type="dcterms:W3CDTF">2024-06-25T15:45:00.0000000Z</dcterms:created>
  <dcterms:modified xsi:type="dcterms:W3CDTF">2025-08-21T14:01:25.6252089Z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